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EF" w:rsidRPr="00AD24A6" w:rsidRDefault="008C73EF" w:rsidP="008C73EF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8C73EF" w:rsidRPr="00AD24A6" w:rsidRDefault="008C73EF" w:rsidP="008C73EF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8C73EF" w:rsidRPr="00AD24A6" w:rsidRDefault="008C73EF" w:rsidP="008C73EF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FA96D" wp14:editId="2C1397E3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E9D1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8C73EF" w:rsidRPr="00AD24A6" w:rsidRDefault="008C73EF" w:rsidP="008C73EF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8C73EF" w:rsidRPr="00AD24A6" w:rsidRDefault="008C73EF" w:rsidP="008C73EF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</w:t>
      </w:r>
      <w:r>
        <w:rPr>
          <w:lang w:val="en-US"/>
        </w:rPr>
        <w:t>utas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ielā</w:t>
      </w:r>
      <w:proofErr w:type="spellEnd"/>
      <w:r>
        <w:rPr>
          <w:lang w:val="en-US"/>
        </w:rPr>
        <w:t xml:space="preserve"> 7, </w:t>
      </w:r>
      <w:proofErr w:type="spellStart"/>
      <w:r>
        <w:rPr>
          <w:lang w:val="en-US"/>
        </w:rPr>
        <w:t>Daugavpilī</w:t>
      </w:r>
      <w:proofErr w:type="spellEnd"/>
      <w:r>
        <w:rPr>
          <w:lang w:val="en-US"/>
        </w:rPr>
        <w:t>, LV-5417</w:t>
      </w:r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r w:rsidRPr="00AD24A6">
          <w:rPr>
            <w:u w:val="single"/>
            <w:lang w:val="en-US"/>
          </w:rPr>
          <w:t>jauniba@inbox.lv</w:t>
        </w:r>
      </w:hyperlink>
    </w:p>
    <w:p w:rsidR="008C73EF" w:rsidRDefault="008C73EF" w:rsidP="008C73EF">
      <w:pPr>
        <w:rPr>
          <w:b/>
          <w:sz w:val="28"/>
          <w:szCs w:val="28"/>
          <w:lang w:val="en-US"/>
        </w:rPr>
      </w:pPr>
    </w:p>
    <w:p w:rsidR="008C73EF" w:rsidRPr="004A68B5" w:rsidRDefault="008C73EF" w:rsidP="008C73EF">
      <w:r>
        <w:t>2017</w:t>
      </w:r>
      <w:r w:rsidRPr="004A68B5">
        <w:t xml:space="preserve">. gada  </w:t>
      </w:r>
      <w:r w:rsidR="00723A64">
        <w:t>22</w:t>
      </w:r>
      <w:r>
        <w:t>.septembrī</w:t>
      </w:r>
    </w:p>
    <w:p w:rsidR="008C73EF" w:rsidRPr="004A68B5" w:rsidRDefault="008C73EF" w:rsidP="008C73EF"/>
    <w:p w:rsidR="008C73EF" w:rsidRPr="004A68B5" w:rsidRDefault="008C73EF" w:rsidP="008C73EF">
      <w:pPr>
        <w:jc w:val="center"/>
        <w:rPr>
          <w:b/>
        </w:rPr>
      </w:pPr>
      <w:r w:rsidRPr="004A68B5">
        <w:rPr>
          <w:b/>
        </w:rPr>
        <w:t>UZAICINĀJUMS</w:t>
      </w:r>
    </w:p>
    <w:p w:rsidR="008C73EF" w:rsidRPr="004A68B5" w:rsidRDefault="008C73EF" w:rsidP="008C73EF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8C73EF" w:rsidRPr="004A68B5" w:rsidRDefault="008C73EF" w:rsidP="008C73EF"/>
    <w:p w:rsidR="008C73EF" w:rsidRPr="004A68B5" w:rsidRDefault="008C73EF" w:rsidP="008C73EF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8C73EF" w:rsidRPr="004A68B5" w:rsidRDefault="008C73EF" w:rsidP="008C73EF">
      <w:r w:rsidRPr="004A68B5">
        <w:t>Daugavpils pilsētas Bērnu un jauniešu centrs “Jaunība”</w:t>
      </w:r>
    </w:p>
    <w:p w:rsidR="008C73EF" w:rsidRPr="004A68B5" w:rsidRDefault="008C73EF" w:rsidP="008C73EF">
      <w:r w:rsidRPr="004A68B5">
        <w:t>Tautas ielā 7, Daugavpils, LV- 5417</w:t>
      </w:r>
    </w:p>
    <w:p w:rsidR="008C73EF" w:rsidRPr="004A68B5" w:rsidRDefault="008C73EF" w:rsidP="008C73EF">
      <w:r w:rsidRPr="004A68B5">
        <w:t>Tālruņi: 65435657, 65435787, 27028565</w:t>
      </w:r>
    </w:p>
    <w:p w:rsidR="008C73EF" w:rsidRPr="004A68B5" w:rsidRDefault="008C73EF" w:rsidP="008C73EF">
      <w:r w:rsidRPr="004A68B5">
        <w:t>Fakss: 65435657</w:t>
      </w:r>
    </w:p>
    <w:p w:rsidR="008C73EF" w:rsidRPr="004A68B5" w:rsidRDefault="008C73EF" w:rsidP="008C73EF">
      <w:r w:rsidRPr="004A68B5">
        <w:t xml:space="preserve">e-pasts: </w:t>
      </w:r>
      <w:hyperlink r:id="rId6" w:history="1">
        <w:r w:rsidRPr="004A68B5">
          <w:rPr>
            <w:rStyle w:val="Hyperlink"/>
          </w:rPr>
          <w:t>jauniba@inbox.lv</w:t>
        </w:r>
      </w:hyperlink>
    </w:p>
    <w:p w:rsidR="008C73EF" w:rsidRPr="004A68B5" w:rsidRDefault="008C73EF" w:rsidP="008C73EF">
      <w:r w:rsidRPr="004A68B5">
        <w:t>Mājas lapa: www.jauniba.lv</w:t>
      </w:r>
    </w:p>
    <w:p w:rsidR="00A07EEA" w:rsidRDefault="008C73EF" w:rsidP="008C73EF">
      <w:r>
        <w:t xml:space="preserve">Kontaktpersona: Jevgenijs </w:t>
      </w:r>
      <w:proofErr w:type="spellStart"/>
      <w:r>
        <w:t>Norbekovs</w:t>
      </w:r>
      <w:proofErr w:type="spellEnd"/>
      <w:r w:rsidR="00A07EEA">
        <w:t xml:space="preserve"> </w:t>
      </w:r>
    </w:p>
    <w:p w:rsidR="008C73EF" w:rsidRDefault="00A07EEA" w:rsidP="008C73EF">
      <w:r>
        <w:t xml:space="preserve">                            t. 29322334</w:t>
      </w:r>
    </w:p>
    <w:p w:rsidR="008C73EF" w:rsidRDefault="008C73EF" w:rsidP="008C73EF"/>
    <w:p w:rsidR="008C73EF" w:rsidRPr="004A68B5" w:rsidRDefault="008C73EF" w:rsidP="008C73EF"/>
    <w:p w:rsidR="008C73EF" w:rsidRPr="004A68B5" w:rsidRDefault="008C73EF" w:rsidP="008C73EF"/>
    <w:p w:rsidR="008C73EF" w:rsidRDefault="008C73EF" w:rsidP="008C73EF">
      <w:r w:rsidRPr="004A68B5">
        <w:t xml:space="preserve">                         Iepirk</w:t>
      </w:r>
      <w:r>
        <w:t>um</w:t>
      </w:r>
      <w:r w:rsidR="00723A64">
        <w:t xml:space="preserve">a </w:t>
      </w:r>
      <w:proofErr w:type="spellStart"/>
      <w:r w:rsidR="00723A64">
        <w:t>idenfikācijas</w:t>
      </w:r>
      <w:proofErr w:type="spellEnd"/>
      <w:r w:rsidR="00723A64">
        <w:t xml:space="preserve"> Nr. DPBJCJ2017/5</w:t>
      </w:r>
      <w:r w:rsidRPr="004A68B5">
        <w:t>-N</w:t>
      </w:r>
    </w:p>
    <w:p w:rsidR="008C73EF" w:rsidRDefault="008C73EF" w:rsidP="008C73EF"/>
    <w:p w:rsidR="008C73EF" w:rsidRPr="004A68B5" w:rsidRDefault="008C73EF" w:rsidP="008C73EF"/>
    <w:p w:rsidR="008C73EF" w:rsidRPr="004A68B5" w:rsidRDefault="008C73EF" w:rsidP="008C73EF">
      <w:pPr>
        <w:rPr>
          <w:b/>
        </w:rPr>
      </w:pPr>
      <w:r w:rsidRPr="004A68B5">
        <w:rPr>
          <w:b/>
        </w:rPr>
        <w:t>“</w:t>
      </w:r>
      <w:r>
        <w:rPr>
          <w:b/>
        </w:rPr>
        <w:t>Par skaņu aparatūras iegādi  Daugavpils pilsētas Bērnu un jauniešu centra “Jaunība” darba procesa nodrošināšanai”</w:t>
      </w:r>
    </w:p>
    <w:p w:rsidR="008C73EF" w:rsidRPr="004A68B5" w:rsidRDefault="008C73EF" w:rsidP="008C73EF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8C73EF" w:rsidRPr="004A68B5" w:rsidRDefault="008C73EF" w:rsidP="008C73EF">
      <w:r>
        <w:t xml:space="preserve">       2.1.  BJC “Jaunība” organizē pasākumus, kur ir nepieciešama apskaņošana, kā arī lai nodrošinātu un modernizētu  mūzikas studijas materiāli tehnisko bāzi., nepieciešama skaņu nodrošināšanas aparatūra.</w:t>
      </w:r>
    </w:p>
    <w:p w:rsidR="008C73EF" w:rsidRPr="004A68B5" w:rsidRDefault="008C73EF" w:rsidP="008C73EF">
      <w:r w:rsidRPr="004A68B5">
        <w:t xml:space="preserve">       2.2.Cenu aptauja tiek rīkota ar mērķi izvēlē</w:t>
      </w:r>
      <w:r>
        <w:t>ties piedāvājumu ar zemāko cenu un vajadzīgo preci.</w:t>
      </w:r>
    </w:p>
    <w:p w:rsidR="008C73EF" w:rsidRPr="004A68B5" w:rsidRDefault="008C73EF" w:rsidP="008C73EF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 w:rsidR="00723A64">
        <w:t>etā Nr.1 līdz 2017.gada 2</w:t>
      </w:r>
      <w:r>
        <w:t>9.septembrim</w:t>
      </w:r>
      <w:r w:rsidRPr="004A68B5">
        <w:t xml:space="preserve">  plkst.12.00.</w:t>
      </w:r>
    </w:p>
    <w:p w:rsidR="008C73EF" w:rsidRPr="004A68B5" w:rsidRDefault="008C73EF" w:rsidP="008C73EF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 w:rsidR="00723A64">
        <w:t xml:space="preserve"> 2017.gada </w:t>
      </w:r>
      <w:r>
        <w:t>oktobris</w:t>
      </w:r>
    </w:p>
    <w:p w:rsidR="008C73EF" w:rsidRPr="004A68B5" w:rsidRDefault="008C73EF" w:rsidP="008C73EF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8C73EF" w:rsidRPr="004A68B5" w:rsidRDefault="008C73EF" w:rsidP="008C73EF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8C73EF" w:rsidRPr="004A68B5" w:rsidRDefault="008C73EF" w:rsidP="008C73EF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 w:rsidR="00723A64">
        <w:t xml:space="preserve">t priekšmeta cena </w:t>
      </w:r>
      <w:proofErr w:type="spellStart"/>
      <w:r w:rsidR="00723A64">
        <w:t>euro</w:t>
      </w:r>
      <w:proofErr w:type="spellEnd"/>
      <w:r w:rsidR="00723A64">
        <w:t xml:space="preserve"> bez</w:t>
      </w:r>
      <w:r>
        <w:t xml:space="preserve"> PVN</w:t>
      </w:r>
      <w:r w:rsidRPr="004A68B5">
        <w:t>.</w:t>
      </w:r>
    </w:p>
    <w:p w:rsidR="008C73EF" w:rsidRDefault="008C73EF" w:rsidP="008C73EF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7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</w:p>
    <w:p w:rsidR="008C73EF" w:rsidRDefault="00170979" w:rsidP="008C73EF">
      <w:pPr>
        <w:ind w:left="1080"/>
      </w:pPr>
      <w:r>
        <w:t xml:space="preserve">un </w:t>
      </w:r>
      <w:hyperlink r:id="rId8" w:history="1">
        <w:r w:rsidRPr="00AA11C8">
          <w:rPr>
            <w:rStyle w:val="Hyperlink"/>
          </w:rPr>
          <w:t>www.daugavpils.lv</w:t>
        </w:r>
      </w:hyperlink>
      <w:r>
        <w:t xml:space="preserve"> </w:t>
      </w:r>
      <w:bookmarkStart w:id="0" w:name="_GoBack"/>
      <w:bookmarkEnd w:id="0"/>
    </w:p>
    <w:p w:rsidR="008C73EF" w:rsidRDefault="008C73EF" w:rsidP="008C73EF">
      <w:pPr>
        <w:ind w:left="1080"/>
      </w:pPr>
    </w:p>
    <w:p w:rsidR="008C73EF" w:rsidRDefault="008C73EF" w:rsidP="008C73EF">
      <w:pPr>
        <w:spacing w:after="160" w:line="259" w:lineRule="auto"/>
      </w:pPr>
      <w:r>
        <w:br w:type="page"/>
      </w:r>
    </w:p>
    <w:p w:rsidR="008C73EF" w:rsidRDefault="008C73EF" w:rsidP="008C73EF">
      <w:pPr>
        <w:ind w:left="1080"/>
      </w:pPr>
    </w:p>
    <w:p w:rsidR="008C73EF" w:rsidRDefault="008C73EF" w:rsidP="008C73EF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Specifikācija</w:t>
      </w:r>
    </w:p>
    <w:p w:rsidR="008C73EF" w:rsidRPr="00900208" w:rsidRDefault="008C73EF" w:rsidP="008C73EF">
      <w:pPr>
        <w:ind w:left="360"/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0"/>
        <w:gridCol w:w="1313"/>
        <w:gridCol w:w="5103"/>
        <w:gridCol w:w="1276"/>
        <w:gridCol w:w="851"/>
        <w:gridCol w:w="992"/>
      </w:tblGrid>
      <w:tr w:rsidR="008C73EF" w:rsidRPr="00EA4574" w:rsidTr="009E75DB">
        <w:trPr>
          <w:trHeight w:val="9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 w:themeFill="background1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r.</w:t>
            </w:r>
            <w:r w:rsidRPr="00900208">
              <w:rPr>
                <w:rFonts w:eastAsia="Times New Roman"/>
                <w:color w:val="000000"/>
              </w:rPr>
              <w:br/>
              <w:t>p/k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 w:themeFill="background1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Veids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 w:themeFill="background1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Iekārtas nosaukums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FF" w:themeFill="background1"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Piedāvātā cena bez PVN (</w:t>
            </w:r>
            <w:proofErr w:type="spellStart"/>
            <w:r w:rsidRPr="00900208">
              <w:rPr>
                <w:rFonts w:eastAsia="Times New Roman"/>
                <w:color w:val="000000"/>
              </w:rPr>
              <w:t>euro</w:t>
            </w:r>
            <w:proofErr w:type="spellEnd"/>
            <w:r w:rsidRPr="00900208">
              <w:rPr>
                <w:rFonts w:eastAsia="Times New Roman"/>
                <w:color w:val="000000"/>
              </w:rPr>
              <w:t>) par vienu vienību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FFFFFF" w:themeFill="background1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 Skaits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 w:themeFill="background1"/>
            <w:vAlign w:val="center"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Summa EUR bez PVN</w:t>
            </w:r>
          </w:p>
        </w:tc>
      </w:tr>
      <w:tr w:rsidR="008C73EF" w:rsidRPr="00EA4574" w:rsidTr="009E75DB">
        <w:trPr>
          <w:trHeight w:val="36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Aktīvā akustiskā sistēma Tops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 Divu joslu aktīva </w:t>
            </w:r>
            <w:proofErr w:type="spellStart"/>
            <w:r w:rsidRPr="00900208">
              <w:rPr>
                <w:rFonts w:eastAsia="Times New Roman"/>
                <w:color w:val="000000"/>
              </w:rPr>
              <w:t>skanda</w:t>
            </w:r>
            <w:proofErr w:type="spellEnd"/>
            <w:r w:rsidRPr="00900208">
              <w:rPr>
                <w:rFonts w:eastAsia="Times New Roman"/>
                <w:color w:val="000000"/>
              </w:rPr>
              <w:t>.</w:t>
            </w:r>
            <w:r w:rsidRPr="00900208">
              <w:rPr>
                <w:rFonts w:eastAsia="Times New Roman"/>
                <w:color w:val="000000"/>
              </w:rPr>
              <w:br/>
              <w:t xml:space="preserve">Viens 12” </w:t>
            </w:r>
            <w:proofErr w:type="spellStart"/>
            <w:r w:rsidRPr="00900208">
              <w:rPr>
                <w:rFonts w:eastAsia="Times New Roman"/>
                <w:color w:val="000000"/>
              </w:rPr>
              <w:t>neodīna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zemo frekvenču  skaļrunis </w:t>
            </w:r>
            <w:r w:rsidRPr="00900208">
              <w:rPr>
                <w:rFonts w:eastAsia="Times New Roman"/>
                <w:color w:val="000000"/>
              </w:rPr>
              <w:br/>
              <w:t>.Viens 1.4” ferīta kompresijas draiveris kopā ar universālu augsto frekvenču  ruporu.</w:t>
            </w:r>
            <w:r w:rsidRPr="00900208">
              <w:rPr>
                <w:rFonts w:eastAsia="Times New Roman"/>
                <w:color w:val="000000"/>
              </w:rPr>
              <w:br/>
              <w:t>Darbības nomināls frekvenču diapazons ne mazāk kā no 45Hz līdz 20kHz.</w:t>
            </w:r>
            <w:r w:rsidRPr="00900208">
              <w:rPr>
                <w:rFonts w:eastAsia="Times New Roman"/>
                <w:color w:val="000000"/>
              </w:rPr>
              <w:br/>
              <w:t xml:space="preserve">RMS pieļaujamā jauda ne mazāka kā 1000W.Jābūt iebūvētam 2kanalu </w:t>
            </w:r>
            <w:proofErr w:type="spellStart"/>
            <w:r w:rsidRPr="00900208">
              <w:rPr>
                <w:rFonts w:eastAsia="Times New Roman"/>
                <w:color w:val="000000"/>
              </w:rPr>
              <w:t>powersoft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pastiprinātājs </w:t>
            </w:r>
            <w:r w:rsidRPr="00900208">
              <w:rPr>
                <w:rFonts w:eastAsia="Times New Roman"/>
                <w:color w:val="000000"/>
              </w:rPr>
              <w:br/>
              <w:t xml:space="preserve">Izstarošanas leņķis: horizontāli - 80 grādi, vertikāli - 70 </w:t>
            </w:r>
            <w:proofErr w:type="spellStart"/>
            <w:r w:rsidRPr="00900208">
              <w:rPr>
                <w:rFonts w:eastAsia="Times New Roman"/>
                <w:color w:val="000000"/>
              </w:rPr>
              <w:t>grādi.Maksimālais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skaņas spiediens ne mazāks kā 128 </w:t>
            </w:r>
            <w:proofErr w:type="spellStart"/>
            <w:r w:rsidRPr="00900208">
              <w:rPr>
                <w:rFonts w:eastAsia="Times New Roman"/>
                <w:color w:val="000000"/>
              </w:rPr>
              <w:t>dB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SPL. </w:t>
            </w:r>
            <w:proofErr w:type="spellStart"/>
            <w:r w:rsidRPr="00900208">
              <w:rPr>
                <w:rFonts w:eastAsia="Times New Roman"/>
                <w:color w:val="000000"/>
              </w:rPr>
              <w:t>Neutrik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XLR </w:t>
            </w:r>
            <w:proofErr w:type="spellStart"/>
            <w:r w:rsidRPr="00900208">
              <w:rPr>
                <w:rFonts w:eastAsia="Times New Roman"/>
                <w:color w:val="000000"/>
              </w:rPr>
              <w:t>konektori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audio signāla ieeja un izeja. .  Korpusam jābūt izgatavotam no bērza finiera. Svars ne </w:t>
            </w:r>
            <w:proofErr w:type="spellStart"/>
            <w:r w:rsidRPr="00900208">
              <w:rPr>
                <w:rFonts w:eastAsia="Times New Roman"/>
                <w:color w:val="000000"/>
              </w:rPr>
              <w:t>vairak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kā 22kg. Jābūt iespējai izmantot kā Top </w:t>
            </w:r>
            <w:proofErr w:type="spellStart"/>
            <w:r w:rsidRPr="00900208">
              <w:rPr>
                <w:rFonts w:eastAsia="Times New Roman"/>
                <w:color w:val="000000"/>
              </w:rPr>
              <w:t>skanda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un kā skatuves  monitors. Virsmai jābūt pārklātai ar melnu ūdensnecaurlaidīgu poliuretāna krāsu. Katrai </w:t>
            </w:r>
            <w:proofErr w:type="spellStart"/>
            <w:r w:rsidRPr="00900208">
              <w:rPr>
                <w:rFonts w:eastAsia="Times New Roman"/>
                <w:color w:val="000000"/>
              </w:rPr>
              <w:t>skandai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jāpievienai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ražotāja izsniegts garantijas sertifikāts uz termiņu ne mazāk kā 36 mēneši. Visiem komponentiem (skaļruņi, korpuss, pastiprinātājs, elektronika u.c.) jābūt izgatavotiem Eiropā.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0208">
              <w:rPr>
                <w:rFonts w:eastAsia="Times New Roman"/>
                <w:color w:val="000000"/>
              </w:rPr>
              <w:t>2</w:t>
            </w:r>
            <w:r w:rsidRPr="00EA45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73EF" w:rsidRPr="00EA4574" w:rsidTr="009E75DB">
        <w:trPr>
          <w:trHeight w:val="26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Aktīvā akustiskā sistēma Sabvūfers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 Aktīvas zemo frekvenču (ZF) akustiskās sistēmas  viens 18” zemo frekvenču (ZF) skaļruņi ar 3” skaņas spoli izgatavotu Eiropā.</w:t>
            </w:r>
            <w:r w:rsidRPr="00900208">
              <w:rPr>
                <w:rFonts w:eastAsia="Times New Roman"/>
                <w:color w:val="000000"/>
              </w:rPr>
              <w:br/>
              <w:t>Frekvenču diapazons no 30Hz-90Hz.</w:t>
            </w:r>
            <w:r w:rsidRPr="00900208">
              <w:rPr>
                <w:rFonts w:eastAsia="Times New Roman"/>
                <w:color w:val="000000"/>
              </w:rPr>
              <w:br/>
              <w:t xml:space="preserve">Maksimālā </w:t>
            </w:r>
            <w:proofErr w:type="spellStart"/>
            <w:r w:rsidRPr="00900208">
              <w:rPr>
                <w:rFonts w:eastAsia="Times New Roman"/>
                <w:color w:val="000000"/>
              </w:rPr>
              <w:t>peak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jauda 2200W.Jābūt iebūvētam 2kanalu </w:t>
            </w:r>
            <w:proofErr w:type="spellStart"/>
            <w:r w:rsidRPr="00900208">
              <w:rPr>
                <w:rFonts w:eastAsia="Times New Roman"/>
                <w:color w:val="000000"/>
              </w:rPr>
              <w:t>powersoft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 pastiprinātājas</w:t>
            </w:r>
            <w:r w:rsidRPr="00900208">
              <w:rPr>
                <w:rFonts w:eastAsia="Times New Roman"/>
                <w:color w:val="000000"/>
              </w:rPr>
              <w:br/>
              <w:t xml:space="preserve">Maksimālais skaņas spiediens ne mazāks kā 135 </w:t>
            </w:r>
            <w:proofErr w:type="spellStart"/>
            <w:r w:rsidRPr="00900208">
              <w:rPr>
                <w:rFonts w:eastAsia="Times New Roman"/>
                <w:color w:val="000000"/>
              </w:rPr>
              <w:t>dB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SPL.Neutrik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XLR </w:t>
            </w:r>
            <w:proofErr w:type="spellStart"/>
            <w:r w:rsidRPr="00900208">
              <w:rPr>
                <w:rFonts w:eastAsia="Times New Roman"/>
                <w:color w:val="000000"/>
              </w:rPr>
              <w:t>konektori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audio </w:t>
            </w:r>
            <w:proofErr w:type="spellStart"/>
            <w:r w:rsidRPr="00900208">
              <w:rPr>
                <w:rFonts w:eastAsia="Times New Roman"/>
                <w:color w:val="000000"/>
              </w:rPr>
              <w:t>signala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ieeja un izeja.  .  Korpusam jābūt izgatavotam no bērza finiera. Svars ne </w:t>
            </w:r>
            <w:proofErr w:type="spellStart"/>
            <w:r w:rsidRPr="00900208">
              <w:rPr>
                <w:rFonts w:eastAsia="Times New Roman"/>
                <w:color w:val="000000"/>
              </w:rPr>
              <w:t>vairak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kā 45kg .Virsmai jābūt pārklātai ar melnu ūdensnecaurlaidīgu poliuretāna krāsu. Katrai </w:t>
            </w:r>
            <w:proofErr w:type="spellStart"/>
            <w:r w:rsidRPr="00900208">
              <w:rPr>
                <w:rFonts w:eastAsia="Times New Roman"/>
                <w:color w:val="000000"/>
              </w:rPr>
              <w:t>skandai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jāpievienai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ražotāja izsniegts garantijas sertifikāts uz termiņu ne mazāk kā 36 mēneši. Visiem komponentiem (skaļruņi, korpuss, pastiprinātājs, elektronika u.c.) jābūt izgatavotiem Eiropā.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73EF" w:rsidRPr="00EA4574" w:rsidTr="009E75DB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00208">
              <w:rPr>
                <w:rFonts w:eastAsia="Times New Roman"/>
                <w:color w:val="000000"/>
              </w:rPr>
              <w:t>Aizsargsoma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00208">
              <w:rPr>
                <w:rFonts w:eastAsia="Times New Roman"/>
                <w:color w:val="000000"/>
              </w:rPr>
              <w:t>Trasporta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Aizsargsoma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Aktīvā akustiskā sistēma Tops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73EF" w:rsidRPr="00EA4574" w:rsidTr="009E75DB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00208">
              <w:rPr>
                <w:rFonts w:eastAsia="Times New Roman"/>
                <w:color w:val="000000"/>
              </w:rPr>
              <w:t>Aizsargsoma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00208">
              <w:rPr>
                <w:rFonts w:eastAsia="Times New Roman"/>
                <w:color w:val="000000"/>
              </w:rPr>
              <w:t>Trasporta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Aizsargsoma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Aktīvā akustiskā sistēma Sabvūfers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73EF" w:rsidRPr="00EA4574" w:rsidTr="009E75DB">
        <w:trPr>
          <w:trHeight w:val="484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Skaņas </w:t>
            </w:r>
            <w:proofErr w:type="spellStart"/>
            <w:r w:rsidRPr="00900208">
              <w:rPr>
                <w:rFonts w:eastAsia="Times New Roman"/>
                <w:color w:val="000000"/>
              </w:rPr>
              <w:t>mikserpults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00208">
              <w:rPr>
                <w:rFonts w:eastAsia="Times New Roman"/>
                <w:color w:val="000000"/>
              </w:rPr>
              <w:t>Digitalais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skaņas pults 32 x analogas mikrofona/līnijas ieejas plus 6 papildus </w:t>
            </w:r>
            <w:proofErr w:type="spellStart"/>
            <w:r w:rsidRPr="00900208">
              <w:rPr>
                <w:rFonts w:eastAsia="Times New Roman"/>
                <w:color w:val="000000"/>
              </w:rPr>
              <w:t>Aux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in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līnijas + </w:t>
            </w:r>
            <w:proofErr w:type="spellStart"/>
            <w:r w:rsidRPr="00900208">
              <w:rPr>
                <w:rFonts w:eastAsia="Times New Roman"/>
                <w:color w:val="000000"/>
              </w:rPr>
              <w:t>talkback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sekcija ar integrēto vai ārējo mikrofona ieeju</w:t>
            </w:r>
            <w:r w:rsidRPr="00900208">
              <w:rPr>
                <w:rFonts w:eastAsia="Times New Roman"/>
                <w:color w:val="000000"/>
              </w:rPr>
              <w:br/>
              <w:t xml:space="preserve">16X analogas līnijas izejas plus 6 papildus </w:t>
            </w:r>
            <w:proofErr w:type="spellStart"/>
            <w:r w:rsidRPr="00900208">
              <w:rPr>
                <w:rFonts w:eastAsia="Times New Roman"/>
                <w:color w:val="000000"/>
              </w:rPr>
              <w:t>Aux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line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izejas</w:t>
            </w:r>
            <w:r w:rsidRPr="00900208">
              <w:rPr>
                <w:rFonts w:eastAsia="Times New Roman"/>
                <w:color w:val="000000"/>
              </w:rPr>
              <w:br/>
              <w:t>2 austiņu izejas</w:t>
            </w:r>
            <w:r w:rsidRPr="00900208">
              <w:rPr>
                <w:rFonts w:eastAsia="Times New Roman"/>
                <w:color w:val="000000"/>
              </w:rPr>
              <w:br/>
            </w:r>
            <w:proofErr w:type="spellStart"/>
            <w:r w:rsidRPr="00900208">
              <w:rPr>
                <w:rFonts w:eastAsia="Times New Roman"/>
                <w:color w:val="000000"/>
              </w:rPr>
              <w:t>Main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LCR, 6 </w:t>
            </w:r>
            <w:proofErr w:type="spellStart"/>
            <w:r w:rsidRPr="00900208">
              <w:rPr>
                <w:rFonts w:eastAsia="Times New Roman"/>
                <w:color w:val="000000"/>
              </w:rPr>
              <w:t>matrix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buses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and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16 mix </w:t>
            </w:r>
            <w:proofErr w:type="spellStart"/>
            <w:r w:rsidRPr="00900208">
              <w:rPr>
                <w:rFonts w:eastAsia="Times New Roman"/>
                <w:color w:val="000000"/>
              </w:rPr>
              <w:t>buses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. Katram ir </w:t>
            </w:r>
            <w:proofErr w:type="spellStart"/>
            <w:r w:rsidRPr="00900208">
              <w:rPr>
                <w:rFonts w:eastAsia="Times New Roman"/>
                <w:color w:val="000000"/>
              </w:rPr>
              <w:t>inserts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, 6-band parametriskais EQ, dinamiskie </w:t>
            </w:r>
            <w:proofErr w:type="spellStart"/>
            <w:r w:rsidRPr="00900208">
              <w:rPr>
                <w:rFonts w:eastAsia="Times New Roman"/>
                <w:color w:val="000000"/>
              </w:rPr>
              <w:t>effekti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r w:rsidRPr="00900208">
              <w:rPr>
                <w:rFonts w:eastAsia="Times New Roman"/>
                <w:color w:val="000000"/>
              </w:rPr>
              <w:br/>
              <w:t xml:space="preserve">25 motorizētie </w:t>
            </w:r>
            <w:proofErr w:type="spellStart"/>
            <w:r w:rsidRPr="00900208">
              <w:rPr>
                <w:rFonts w:eastAsia="Times New Roman"/>
                <w:color w:val="000000"/>
              </w:rPr>
              <w:t>feideri</w:t>
            </w:r>
            <w:proofErr w:type="spellEnd"/>
            <w:r w:rsidRPr="00900208">
              <w:rPr>
                <w:rFonts w:eastAsia="Times New Roman"/>
                <w:color w:val="000000"/>
              </w:rPr>
              <w:br/>
              <w:t xml:space="preserve">8 DCA </w:t>
            </w:r>
            <w:r w:rsidRPr="00900208">
              <w:rPr>
                <w:rFonts w:eastAsia="Times New Roman"/>
                <w:color w:val="000000"/>
              </w:rPr>
              <w:br/>
              <w:t>8 stereo FX</w:t>
            </w:r>
            <w:r w:rsidRPr="00900208">
              <w:rPr>
                <w:rFonts w:eastAsia="Times New Roman"/>
                <w:color w:val="000000"/>
              </w:rPr>
              <w:br/>
              <w:t>32 x 32 kanālu iebūvēts USB 2.0 audio interfeiss, ar DAW kontroli</w:t>
            </w:r>
            <w:r w:rsidRPr="00900208">
              <w:rPr>
                <w:rFonts w:eastAsia="Times New Roman"/>
                <w:color w:val="000000"/>
              </w:rPr>
              <w:br/>
              <w:t xml:space="preserve">Iebūvēts </w:t>
            </w:r>
            <w:proofErr w:type="spellStart"/>
            <w:r w:rsidRPr="00900208">
              <w:rPr>
                <w:rFonts w:eastAsia="Times New Roman"/>
                <w:color w:val="000000"/>
              </w:rPr>
              <w:t>expansion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port audio interfeisu kārtīm vai </w:t>
            </w:r>
            <w:proofErr w:type="spellStart"/>
            <w:r w:rsidRPr="00900208">
              <w:rPr>
                <w:rFonts w:eastAsia="Times New Roman"/>
                <w:color w:val="000000"/>
              </w:rPr>
              <w:t>digital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networking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bridges</w:t>
            </w:r>
            <w:proofErr w:type="spellEnd"/>
            <w:r w:rsidRPr="00900208">
              <w:rPr>
                <w:rFonts w:eastAsia="Times New Roman"/>
                <w:color w:val="000000"/>
              </w:rPr>
              <w:br/>
              <w:t xml:space="preserve">7" </w:t>
            </w:r>
            <w:proofErr w:type="spellStart"/>
            <w:r w:rsidRPr="00900208">
              <w:rPr>
                <w:rFonts w:eastAsia="Times New Roman"/>
                <w:color w:val="000000"/>
              </w:rPr>
              <w:t>day-viewable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Color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TFT</w:t>
            </w:r>
            <w:r w:rsidRPr="00900208">
              <w:rPr>
                <w:rFonts w:eastAsia="Times New Roman"/>
                <w:color w:val="000000"/>
              </w:rPr>
              <w:br/>
              <w:t xml:space="preserve">6 mute </w:t>
            </w:r>
            <w:proofErr w:type="spellStart"/>
            <w:r w:rsidRPr="00900208">
              <w:rPr>
                <w:rFonts w:eastAsia="Times New Roman"/>
                <w:color w:val="000000"/>
              </w:rPr>
              <w:t>groups</w:t>
            </w:r>
            <w:proofErr w:type="spellEnd"/>
            <w:r w:rsidRPr="00900208">
              <w:rPr>
                <w:rFonts w:eastAsia="Times New Roman"/>
                <w:color w:val="000000"/>
              </w:rPr>
              <w:br/>
            </w:r>
            <w:proofErr w:type="spellStart"/>
            <w:r w:rsidRPr="00900208">
              <w:rPr>
                <w:rFonts w:eastAsia="Times New Roman"/>
                <w:color w:val="000000"/>
              </w:rPr>
              <w:t>output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delay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uz visām izejām</w:t>
            </w:r>
            <w:r w:rsidRPr="00900208">
              <w:rPr>
                <w:rFonts w:eastAsia="Times New Roman"/>
                <w:color w:val="000000"/>
              </w:rPr>
              <w:br/>
            </w:r>
            <w:proofErr w:type="spellStart"/>
            <w:r w:rsidRPr="00900208">
              <w:rPr>
                <w:rFonts w:eastAsia="Times New Roman"/>
                <w:color w:val="000000"/>
              </w:rPr>
              <w:t>crossover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filteri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uz LR+M izejas (</w:t>
            </w:r>
            <w:proofErr w:type="spellStart"/>
            <w:r w:rsidRPr="00900208">
              <w:rPr>
                <w:rFonts w:eastAsia="Times New Roman"/>
                <w:color w:val="000000"/>
              </w:rPr>
              <w:t>Butterworth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00208">
              <w:rPr>
                <w:rFonts w:eastAsia="Times New Roman"/>
                <w:color w:val="000000"/>
              </w:rPr>
              <w:t>Linkwitz-Riley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00208">
              <w:rPr>
                <w:rFonts w:eastAsia="Times New Roman"/>
                <w:color w:val="000000"/>
              </w:rPr>
              <w:t>Bessel</w:t>
            </w:r>
            <w:proofErr w:type="spellEnd"/>
            <w:r w:rsidRPr="00900208">
              <w:rPr>
                <w:rFonts w:eastAsia="Times New Roman"/>
                <w:color w:val="000000"/>
              </w:rPr>
              <w:t>)</w:t>
            </w:r>
            <w:r w:rsidRPr="00900208">
              <w:rPr>
                <w:rFonts w:eastAsia="Times New Roman"/>
                <w:color w:val="000000"/>
              </w:rPr>
              <w:br/>
              <w:t xml:space="preserve">40-Bit </w:t>
            </w:r>
            <w:proofErr w:type="spellStart"/>
            <w:r w:rsidRPr="00900208">
              <w:rPr>
                <w:rFonts w:eastAsia="Times New Roman"/>
                <w:color w:val="000000"/>
              </w:rPr>
              <w:t>floating-point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DSP</w:t>
            </w:r>
            <w:r w:rsidRPr="00900208">
              <w:rPr>
                <w:rFonts w:eastAsia="Times New Roman"/>
                <w:color w:val="000000"/>
              </w:rPr>
              <w:br/>
            </w:r>
            <w:proofErr w:type="spellStart"/>
            <w:r w:rsidRPr="00900208">
              <w:rPr>
                <w:rFonts w:eastAsia="Times New Roman"/>
                <w:color w:val="000000"/>
              </w:rPr>
              <w:t>Scenes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00208">
              <w:rPr>
                <w:rFonts w:eastAsia="Times New Roman"/>
                <w:color w:val="000000"/>
              </w:rPr>
              <w:t>Snippets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00208">
              <w:rPr>
                <w:rFonts w:eastAsia="Times New Roman"/>
                <w:color w:val="000000"/>
              </w:rPr>
              <w:t>Cues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izmantošanas iespējas</w:t>
            </w:r>
            <w:r w:rsidRPr="00900208">
              <w:rPr>
                <w:rFonts w:eastAsia="Times New Roman"/>
                <w:color w:val="000000"/>
              </w:rPr>
              <w:br/>
              <w:t xml:space="preserve">1x ADAT, 2x AES-3 ieejas, MIDI </w:t>
            </w:r>
            <w:proofErr w:type="spellStart"/>
            <w:r w:rsidRPr="00900208">
              <w:rPr>
                <w:rFonts w:eastAsia="Times New Roman"/>
                <w:color w:val="000000"/>
              </w:rPr>
              <w:t>in</w:t>
            </w:r>
            <w:proofErr w:type="spellEnd"/>
            <w:r w:rsidRPr="00900208">
              <w:rPr>
                <w:rFonts w:eastAsia="Times New Roman"/>
                <w:color w:val="000000"/>
              </w:rPr>
              <w:t>/</w:t>
            </w:r>
            <w:proofErr w:type="spellStart"/>
            <w:r w:rsidRPr="00900208">
              <w:rPr>
                <w:rFonts w:eastAsia="Times New Roman"/>
                <w:color w:val="000000"/>
              </w:rPr>
              <w:t>out</w:t>
            </w:r>
            <w:proofErr w:type="spellEnd"/>
            <w:r w:rsidRPr="00900208">
              <w:rPr>
                <w:rFonts w:eastAsia="Times New Roman"/>
                <w:color w:val="000000"/>
              </w:rPr>
              <w:br/>
              <w:t xml:space="preserve">Garantija 24 </w:t>
            </w:r>
            <w:proofErr w:type="spellStart"/>
            <w:r w:rsidRPr="00900208">
              <w:rPr>
                <w:rFonts w:eastAsia="Times New Roman"/>
                <w:color w:val="000000"/>
              </w:rPr>
              <w:t>meneši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73EF" w:rsidRPr="00EA4574" w:rsidTr="009E75DB">
        <w:trPr>
          <w:trHeight w:val="178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00208">
              <w:rPr>
                <w:rFonts w:eastAsia="Times New Roman"/>
                <w:color w:val="000000"/>
              </w:rPr>
              <w:t>Diģitālais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multikors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Skaņas pults skatuves modulis AES50 / </w:t>
            </w:r>
            <w:proofErr w:type="spellStart"/>
            <w:r w:rsidRPr="00900208">
              <w:rPr>
                <w:rFonts w:eastAsia="Times New Roman"/>
                <w:color w:val="000000"/>
              </w:rPr>
              <w:t>Ultranet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sistēmu saderība 32x analogas mikrofona XLR ieejas 16x analogas līniju XLR izejas 2x </w:t>
            </w:r>
            <w:proofErr w:type="spellStart"/>
            <w:r w:rsidRPr="00900208">
              <w:rPr>
                <w:rFonts w:eastAsia="Times New Roman"/>
                <w:color w:val="000000"/>
              </w:rPr>
              <w:t>Optical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Toslink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(ADAT) </w:t>
            </w:r>
            <w:proofErr w:type="spellStart"/>
            <w:r w:rsidRPr="00900208">
              <w:rPr>
                <w:rFonts w:eastAsia="Times New Roman"/>
                <w:color w:val="000000"/>
              </w:rPr>
              <w:t>outputs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nodrošina 16-kanālu digitālo izejas uz 2 optiskām TOSLINK* </w:t>
            </w:r>
            <w:proofErr w:type="spellStart"/>
            <w:r w:rsidRPr="00900208">
              <w:rPr>
                <w:rFonts w:eastAsia="Times New Roman"/>
                <w:color w:val="000000"/>
              </w:rPr>
              <w:t>konnektoriem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2 x XLR (AES/EBU) digitālas izejas USB, </w:t>
            </w:r>
            <w:proofErr w:type="spellStart"/>
            <w:r w:rsidRPr="00900208">
              <w:rPr>
                <w:rFonts w:eastAsia="Times New Roman"/>
                <w:color w:val="000000"/>
              </w:rPr>
              <w:t>Ethernet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kompjutera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savienojamības iespējas Mute </w:t>
            </w:r>
            <w:proofErr w:type="spellStart"/>
            <w:r w:rsidRPr="00900208">
              <w:rPr>
                <w:rFonts w:eastAsia="Times New Roman"/>
                <w:color w:val="000000"/>
              </w:rPr>
              <w:t>All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funkcija priekš drošam </w:t>
            </w:r>
            <w:proofErr w:type="spellStart"/>
            <w:r w:rsidRPr="00900208">
              <w:rPr>
                <w:rFonts w:eastAsia="Times New Roman"/>
                <w:color w:val="000000"/>
              </w:rPr>
              <w:t>patchingam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uz skatuves līdz 100 metru tālvadības operācija ar CAT5e </w:t>
            </w:r>
            <w:proofErr w:type="spellStart"/>
            <w:r w:rsidRPr="00900208">
              <w:rPr>
                <w:rFonts w:eastAsia="Times New Roman"/>
                <w:color w:val="000000"/>
              </w:rPr>
              <w:t>kabeļi.Garantija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24 </w:t>
            </w:r>
            <w:proofErr w:type="spellStart"/>
            <w:r w:rsidRPr="00900208">
              <w:rPr>
                <w:rFonts w:eastAsia="Times New Roman"/>
                <w:color w:val="000000"/>
              </w:rPr>
              <w:t>meneši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73EF" w:rsidRPr="00EA4574" w:rsidTr="009E75DB">
        <w:trPr>
          <w:trHeight w:val="537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Transporta kaste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Transporta kaste skaņas </w:t>
            </w:r>
            <w:proofErr w:type="spellStart"/>
            <w:r w:rsidRPr="00900208">
              <w:rPr>
                <w:rFonts w:eastAsia="Times New Roman"/>
                <w:color w:val="000000"/>
              </w:rPr>
              <w:t>pultīj</w:t>
            </w:r>
            <w:proofErr w:type="spellEnd"/>
            <w:r w:rsidRPr="00900208">
              <w:rPr>
                <w:rFonts w:eastAsia="Times New Roman"/>
                <w:color w:val="000000"/>
              </w:rPr>
              <w:t>, izgatavots no finiera 9mm,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73EF" w:rsidRPr="00EA4574" w:rsidTr="009E75DB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Transporta kaste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Transporta kaste </w:t>
            </w:r>
            <w:proofErr w:type="spellStart"/>
            <w:r w:rsidRPr="00900208">
              <w:rPr>
                <w:rFonts w:eastAsia="Times New Roman"/>
                <w:color w:val="000000"/>
              </w:rPr>
              <w:t>Diģitālais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00208">
              <w:rPr>
                <w:rFonts w:eastAsia="Times New Roman"/>
                <w:color w:val="000000"/>
              </w:rPr>
              <w:t>multikors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 izgatavots no finiera 7mm,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73EF" w:rsidRPr="00EA4574" w:rsidTr="009E75DB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Statīvi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Regulējams augstums un aizslēdzama tērauda statne satelītu montāžai ar vītni M 20. Pastiprināta tērauda konstrukcija ļauj izturēt svaru līdz 40 kg.  Statīvam jābūt regulējamam augstumam no 80 </w:t>
            </w:r>
            <w:proofErr w:type="spellStart"/>
            <w:r w:rsidRPr="00900208">
              <w:rPr>
                <w:rFonts w:eastAsia="Times New Roman"/>
                <w:color w:val="000000"/>
              </w:rPr>
              <w:t>см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līdz 150 </w:t>
            </w:r>
            <w:proofErr w:type="spellStart"/>
            <w:r w:rsidRPr="00900208">
              <w:rPr>
                <w:rFonts w:eastAsia="Times New Roman"/>
                <w:color w:val="000000"/>
              </w:rPr>
              <w:t>см</w:t>
            </w:r>
            <w:proofErr w:type="spellEnd"/>
            <w:r w:rsidRPr="00900208">
              <w:rPr>
                <w:rFonts w:eastAsia="Times New Roman"/>
                <w:color w:val="000000"/>
              </w:rPr>
              <w:t>. Komplektā 2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73EF" w:rsidRPr="00EA4574" w:rsidTr="009E75DB">
        <w:trPr>
          <w:trHeight w:val="72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00208">
              <w:rPr>
                <w:rFonts w:eastAsia="Times New Roman"/>
                <w:color w:val="000000"/>
              </w:rPr>
              <w:t>Cat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5/6 kabelis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 Digitāls signāla </w:t>
            </w:r>
            <w:proofErr w:type="spellStart"/>
            <w:r w:rsidRPr="00900208">
              <w:rPr>
                <w:rFonts w:eastAsia="Times New Roman"/>
                <w:color w:val="000000"/>
              </w:rPr>
              <w:t>multikabelis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 CAT5e  ar  kabeli NEUTRIK </w:t>
            </w:r>
            <w:proofErr w:type="spellStart"/>
            <w:r w:rsidRPr="00900208">
              <w:rPr>
                <w:rFonts w:eastAsia="Times New Roman"/>
                <w:color w:val="000000"/>
              </w:rPr>
              <w:t>etherFLEX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(AWG 26)ar </w:t>
            </w:r>
            <w:proofErr w:type="spellStart"/>
            <w:r w:rsidRPr="00900208">
              <w:rPr>
                <w:rFonts w:eastAsia="Times New Roman"/>
                <w:color w:val="000000"/>
              </w:rPr>
              <w:t>konektoriem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 </w:t>
            </w:r>
            <w:proofErr w:type="spellStart"/>
            <w:r w:rsidRPr="00900208">
              <w:rPr>
                <w:rFonts w:eastAsia="Times New Roman"/>
                <w:color w:val="000000"/>
              </w:rPr>
              <w:t>etherCON</w:t>
            </w:r>
            <w:proofErr w:type="spellEnd"/>
            <w:r w:rsidRPr="00900208">
              <w:rPr>
                <w:rFonts w:eastAsia="Times New Roman"/>
                <w:color w:val="000000"/>
              </w:rPr>
              <w:t xml:space="preserve"> (RJ45) uz kabeļa spole </w:t>
            </w:r>
            <w:proofErr w:type="spellStart"/>
            <w:r w:rsidRPr="00900208">
              <w:rPr>
                <w:rFonts w:eastAsia="Times New Roman"/>
                <w:color w:val="000000"/>
              </w:rPr>
              <w:t>Schill</w:t>
            </w:r>
            <w:proofErr w:type="spellEnd"/>
            <w:r w:rsidRPr="00900208">
              <w:rPr>
                <w:rFonts w:eastAsia="Times New Roman"/>
                <w:color w:val="000000"/>
              </w:rPr>
              <w:t>.  Garums ne mazāks par 50 metriem 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EF" w:rsidRPr="00900208" w:rsidRDefault="008C73EF" w:rsidP="009E75DB">
            <w:pPr>
              <w:jc w:val="center"/>
              <w:rPr>
                <w:rFonts w:eastAsia="Times New Roman"/>
                <w:color w:val="000000"/>
              </w:rPr>
            </w:pPr>
            <w:r w:rsidRPr="00900208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3EF" w:rsidRPr="00EA4574" w:rsidRDefault="008C73EF" w:rsidP="009E75D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8C73EF" w:rsidRPr="00540C45" w:rsidRDefault="008C73EF" w:rsidP="008C73EF">
      <w:r>
        <w:t xml:space="preserve">                                                             </w:t>
      </w:r>
    </w:p>
    <w:p w:rsidR="008C73EF" w:rsidRDefault="008C73EF" w:rsidP="008C73EF">
      <w:pPr>
        <w:jc w:val="center"/>
      </w:pPr>
    </w:p>
    <w:p w:rsidR="008C73EF" w:rsidRDefault="008C73EF" w:rsidP="008C73EF">
      <w:pPr>
        <w:suppressAutoHyphens/>
        <w:spacing w:after="120"/>
        <w:jc w:val="both"/>
      </w:pPr>
      <w:r>
        <w:rPr>
          <w:rFonts w:eastAsia="Times New Roman"/>
          <w:bCs/>
          <w:lang w:eastAsia="en-US"/>
        </w:rPr>
        <w:t xml:space="preserve">Komisijas priekšsēdētāja                                    Inta </w:t>
      </w:r>
      <w:proofErr w:type="spellStart"/>
      <w:r>
        <w:rPr>
          <w:rFonts w:eastAsia="Times New Roman"/>
          <w:bCs/>
          <w:lang w:eastAsia="en-US"/>
        </w:rPr>
        <w:t>Jackeviča</w:t>
      </w:r>
      <w:proofErr w:type="spellEnd"/>
    </w:p>
    <w:p w:rsidR="005A4AF1" w:rsidRDefault="005A4AF1"/>
    <w:sectPr w:rsidR="005A4AF1" w:rsidSect="00900208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01"/>
    <w:rsid w:val="00170979"/>
    <w:rsid w:val="005A4AF1"/>
    <w:rsid w:val="00723A64"/>
    <w:rsid w:val="008C73EF"/>
    <w:rsid w:val="00A07EEA"/>
    <w:rsid w:val="00B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D0C63-8AC3-48F6-951A-4D39AC6C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3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73EF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hyperlink" Target="mailto:jauniba@inbox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3714</Words>
  <Characters>2118</Characters>
  <Application>Microsoft Office Word</Application>
  <DocSecurity>0</DocSecurity>
  <Lines>17</Lines>
  <Paragraphs>11</Paragraphs>
  <ScaleCrop>false</ScaleCrop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2017-09-21T13:28:00Z</dcterms:created>
  <dcterms:modified xsi:type="dcterms:W3CDTF">2017-09-22T07:43:00Z</dcterms:modified>
</cp:coreProperties>
</file>